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/>
      </w:pPr>
      <w:r>
        <w:rPr>
          <w:rFonts w:ascii="黑体" w:hAnsi="宋体" w:eastAsia="黑体" w:cs="黑体"/>
          <w:sz w:val="28"/>
          <w:szCs w:val="28"/>
          <w:bdr w:val="none" w:color="auto" w:sz="0" w:space="0"/>
        </w:rPr>
        <w:t>附件</w:t>
      </w:r>
      <w:r>
        <w:rPr>
          <w:rFonts w:hint="eastAsia" w:ascii="黑体" w:hAnsi="宋体" w:eastAsia="黑体" w:cs="黑体"/>
          <w:sz w:val="28"/>
          <w:szCs w:val="28"/>
          <w:bdr w:val="none" w:color="auto" w:sz="0" w:space="0"/>
        </w:rPr>
        <w:t>2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/>
        <w:jc w:val="center"/>
      </w:pPr>
      <w:r>
        <w:rPr>
          <w:rFonts w:ascii="方正小标宋简体" w:hAnsi="方正小标宋简体" w:eastAsia="方正小标宋简体" w:cs="方正小标宋简体"/>
          <w:sz w:val="43"/>
          <w:szCs w:val="43"/>
          <w:bdr w:val="none" w:color="auto" w:sz="0" w:space="0"/>
        </w:rPr>
        <w:t>《关于加快构建终身教育体系</w:t>
      </w:r>
      <w:r>
        <w:rPr>
          <w:rFonts w:hint="default" w:ascii="方正小标宋简体" w:hAnsi="方正小标宋简体" w:eastAsia="方正小标宋简体" w:cs="方正小标宋简体"/>
          <w:sz w:val="43"/>
          <w:szCs w:val="43"/>
          <w:bdr w:val="none" w:color="auto" w:sz="0" w:space="0"/>
        </w:rPr>
        <w:t>  推进学习型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/>
        <w:jc w:val="center"/>
      </w:pPr>
      <w:r>
        <w:rPr>
          <w:rFonts w:hint="default" w:ascii="方正小标宋简体" w:hAnsi="方正小标宋简体" w:eastAsia="方正小标宋简体" w:cs="方正小标宋简体"/>
          <w:sz w:val="43"/>
          <w:szCs w:val="43"/>
          <w:bdr w:val="none" w:color="auto" w:sz="0" w:space="0"/>
        </w:rPr>
        <w:t>巴中建设的实施方案（送审稿）》起草说明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ascii="仿宋_GB2312" w:eastAsia="仿宋_GB2312" w:cs="仿宋_GB2312"/>
          <w:sz w:val="31"/>
          <w:szCs w:val="31"/>
          <w:bdr w:val="none" w:color="auto" w:sz="0" w:space="0"/>
        </w:rPr>
        <w:t> 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现将《关于加快构建终身教育体系 推进学习型巴中建设的实施方案》（以下简称《实施方案（送审稿）》）起草，作如下汇报说明。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eastAsia" w:ascii="黑体" w:hAnsi="宋体" w:eastAsia="黑体" w:cs="黑体"/>
          <w:sz w:val="31"/>
          <w:szCs w:val="31"/>
          <w:bdr w:val="none" w:color="auto" w:sz="0" w:space="0"/>
        </w:rPr>
        <w:t>一、起草背景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为贯彻落实党的二十大关于“建设全民终身学习的学习型社会、学习型大国”精神和全市教育工作会议精神，根据《中共中央、国务院关于加强新时代老龄工作的意见》《教育部等九部门关于进一步推进社区教育发展的意见》《中华人民共和国家庭教育促进法》《国务院办公厅关于发展银发经济增进老年人福祉的意见》《国家卫健委等 5 部门关于印发〈家庭托育点管理办法（试行）〉的通知》等文件精神，结合我市实际，我局牵头起草了《关于加快构建终身教育体系 推进学习型巴中建设的实施方案》。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eastAsia" w:ascii="黑体" w:hAnsi="宋体" w:eastAsia="黑体" w:cs="黑体"/>
          <w:sz w:val="31"/>
          <w:szCs w:val="31"/>
          <w:bdr w:val="none" w:color="auto" w:sz="0" w:space="0"/>
        </w:rPr>
        <w:t>二、征求意见情况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6月25日，市教育局征求了各县（区）人民政府、巴中经开区管委会和市级相关部门意见建议，共收到35个单位（部门）反馈意见。共收到修改意见15条，最终采纳13条，不予采纳2条，并与未采纳意见的相关单位达成一致沟通意见，其余单位（部门）均无意见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30"/>
      </w:pPr>
      <w:r>
        <w:rPr>
          <w:rFonts w:hint="eastAsia" w:ascii="黑体" w:hAnsi="宋体" w:eastAsia="黑体" w:cs="黑体"/>
          <w:sz w:val="31"/>
          <w:szCs w:val="31"/>
          <w:bdr w:val="none" w:color="auto" w:sz="0" w:space="0"/>
        </w:rPr>
        <w:t>三、论证和审查情况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6月28日，《实施方案》通过2024年第12次局党组会审议。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7月8日，《实施方案》通过局法规科审核，并根据其修改意见进行了修改。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eastAsia" w:ascii="黑体" w:hAnsi="宋体" w:eastAsia="黑体" w:cs="黑体"/>
          <w:sz w:val="31"/>
          <w:szCs w:val="31"/>
          <w:bdr w:val="none" w:color="auto" w:sz="0" w:space="0"/>
        </w:rPr>
        <w:t>四、主要内容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本《实施方案》共四个部分。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ascii="楷体_GB2312" w:eastAsia="楷体_GB2312" w:cs="楷体_GB2312"/>
          <w:sz w:val="31"/>
          <w:szCs w:val="31"/>
          <w:bdr w:val="none" w:color="auto" w:sz="0" w:space="0"/>
        </w:rPr>
        <w:t>第一部分：指导思想。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以习近平新时代中国特色社会主义思想为指导，以促进全民终身学习、建设学习型巴中为目标，系统化谋划，矩阵式推进，构建全纳、开放、普惠、多元的全生命周期终身教育体系，营造“人人皆学、时时可学、处处能学”终身学习氛围，以终身教育高质量发展促进全市社会治理体系和治理能力现代化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第二部分：工作目标。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这部分主要阐述了终身教育矩阵的目标、具体内容。在设定矩阵目标时，坚持树立以人民为中心的大教育观，构建纵向从职前到老年、横向从技能到才艺，全时、全龄、全域的终身教育矩阵，打造全生命周期教育高地，努力办好人民满意的终身教育。确定到2027年，全市终身教育办学体系实现市、县（区）、乡镇（街道）覆盖率达100%，城乡居民参与率达30%以上。在细化具体工作内容时，我们分别确定了以提升能力为主的社区教育、以康养学游为主的老年教育、以协同育人为主的家庭教育为重点工作方向，并强调了抓终身教育的工作侧重、具体内容和最终目标。这使得《实施方案》更加务实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第三部分：工作措施。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（一）构建“一核五副满天星”终身教育体系。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主要是从体系建设上进行部署，包括构建市、县（区）、乡镇（街道）、村（社区）四级终身教育网络体系方面的内容。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（二）加强终身教育专兼职队伍建设。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包括各级社区（老年）教育机构专（兼）职人员配备、建立全市终身教育师资专家库及志愿者信息库、解决师资人员不足的方式方法三个方面的内容。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（三）统筹终身教育资源开放共享。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包括统筹各类公共服务资源、整合各类社会学习资源、开办全市终身教育活动周三个方面的内容。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（四）推进终身教育特色课程开发。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包括加快建设“巴中云上大学城”数字化平台、拓展终身学习服务功能、加大学分银行建设力度、挖掘终身教育特色课程四个方面。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（五）加快巴中终身教育特色品牌建设。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包括打造社区教育国家级品牌、老年教育国际化品牌、家庭教育“巴字号”品牌三个方面的内容。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第四部分：工作保障。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主要从加强组织领导、加大经费投入、加强督导考核、加强研究宣传等方面进行了强调和要求，确保《实施方案》能够落实落地。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Fonts w:hint="eastAsia" w:ascii="黑体" w:hAnsi="宋体" w:eastAsia="黑体" w:cs="黑体"/>
          <w:sz w:val="31"/>
          <w:szCs w:val="31"/>
          <w:bdr w:val="none" w:color="auto" w:sz="0" w:space="0"/>
        </w:rPr>
        <w:t>五、主要特点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（一）建立矩阵，目标更加明确。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《实施方案》中对终身教育的含义进行了阐释，将社区教育、老年教育、家庭教育作为我市终身教育发展的重要支撑，既有宏观的目标，又有分类的具体要求，做到了系统谋划、矩阵式推进。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（二）细化措施，内容更加务实。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《实施方案》中提出了构建“一核五副满天星”终身教育体系、加强终身教育专兼职队伍建设、统筹终身教育资源开放共享、推进终身教育特色课程开发、加快巴中终身教育特色品牌建设，全方位推动我市学习型社会建设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55" w:lineRule="atLeast"/>
        <w:ind w:left="0" w:right="0" w:firstLine="645"/>
      </w:pPr>
      <w:r>
        <w:rPr>
          <w:rStyle w:val="9"/>
          <w:rFonts w:hint="default" w:ascii="楷体_GB2312" w:eastAsia="楷体_GB2312" w:cs="楷体_GB2312"/>
          <w:sz w:val="31"/>
          <w:szCs w:val="31"/>
          <w:bdr w:val="none" w:color="auto" w:sz="0" w:space="0"/>
        </w:rPr>
        <w:t>（三）强化保障，责任更加清晰。</w:t>
      </w: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《实施方案》从组织保障、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default" w:ascii="仿宋_GB2312" w:eastAsia="仿宋_GB2312" w:cs="仿宋_GB2312"/>
          <w:sz w:val="31"/>
          <w:szCs w:val="31"/>
          <w:bdr w:val="none" w:color="auto" w:sz="0" w:space="0"/>
        </w:rPr>
        <w:t>经费投入、督导考核、宣传推广四个方面提出明确要求，同时建立了职责分工清单和工作任务清单，将每一项工作细化到各县（区）人民政府、巴中经开区管委会和30个相关市级部门，做到了每项工作有牵头部门、有责任单位，确保能落实见成效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701" w:right="1474" w:bottom="1247" w:left="1587" w:header="851" w:footer="992" w:gutter="0"/>
      <w:pgNumType w:fmt="decimal"/>
      <w:cols w:space="0" w:num="1"/>
      <w:rtlGutter w:val="0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NjYzg1MjdkZDNjMmQ2YzYxY2JmMjE5YzkwYWY1MmMifQ=="/>
  </w:docVars>
  <w:rsids>
    <w:rsidRoot w:val="00615106"/>
    <w:rsid w:val="0000106F"/>
    <w:rsid w:val="000071C2"/>
    <w:rsid w:val="00027B51"/>
    <w:rsid w:val="00033DED"/>
    <w:rsid w:val="0004578D"/>
    <w:rsid w:val="000721F4"/>
    <w:rsid w:val="000A06FA"/>
    <w:rsid w:val="000B54E2"/>
    <w:rsid w:val="000B61B3"/>
    <w:rsid w:val="000D19AC"/>
    <w:rsid w:val="00152A98"/>
    <w:rsid w:val="00156199"/>
    <w:rsid w:val="00162882"/>
    <w:rsid w:val="001A55EE"/>
    <w:rsid w:val="001B1F7A"/>
    <w:rsid w:val="001C60D5"/>
    <w:rsid w:val="0022022A"/>
    <w:rsid w:val="00246FF6"/>
    <w:rsid w:val="00255F13"/>
    <w:rsid w:val="0025617C"/>
    <w:rsid w:val="00260FCE"/>
    <w:rsid w:val="002C66EC"/>
    <w:rsid w:val="002F1B08"/>
    <w:rsid w:val="00332E62"/>
    <w:rsid w:val="00381960"/>
    <w:rsid w:val="003C0383"/>
    <w:rsid w:val="003E2E89"/>
    <w:rsid w:val="003F31E8"/>
    <w:rsid w:val="004278E6"/>
    <w:rsid w:val="00460D7D"/>
    <w:rsid w:val="00483091"/>
    <w:rsid w:val="0049750D"/>
    <w:rsid w:val="004C76A9"/>
    <w:rsid w:val="004E73FC"/>
    <w:rsid w:val="005836D7"/>
    <w:rsid w:val="005B296A"/>
    <w:rsid w:val="005B4325"/>
    <w:rsid w:val="005F7AEF"/>
    <w:rsid w:val="00615106"/>
    <w:rsid w:val="00634480"/>
    <w:rsid w:val="00722A6A"/>
    <w:rsid w:val="00734CD8"/>
    <w:rsid w:val="007971CB"/>
    <w:rsid w:val="008165BE"/>
    <w:rsid w:val="00825074"/>
    <w:rsid w:val="00840584"/>
    <w:rsid w:val="00895989"/>
    <w:rsid w:val="00897057"/>
    <w:rsid w:val="008B197A"/>
    <w:rsid w:val="009102BA"/>
    <w:rsid w:val="00910979"/>
    <w:rsid w:val="00921B22"/>
    <w:rsid w:val="00951F3E"/>
    <w:rsid w:val="0097213D"/>
    <w:rsid w:val="00992864"/>
    <w:rsid w:val="009E2FA9"/>
    <w:rsid w:val="00A1129E"/>
    <w:rsid w:val="00A34F8D"/>
    <w:rsid w:val="00A460BC"/>
    <w:rsid w:val="00AA546E"/>
    <w:rsid w:val="00AB5504"/>
    <w:rsid w:val="00AC6538"/>
    <w:rsid w:val="00AF2CF2"/>
    <w:rsid w:val="00AF6AD8"/>
    <w:rsid w:val="00BA19F0"/>
    <w:rsid w:val="00BD0EEA"/>
    <w:rsid w:val="00BD1559"/>
    <w:rsid w:val="00BE755D"/>
    <w:rsid w:val="00BF19D0"/>
    <w:rsid w:val="00C03AD0"/>
    <w:rsid w:val="00C85E01"/>
    <w:rsid w:val="00CA7FE3"/>
    <w:rsid w:val="00CB5E5F"/>
    <w:rsid w:val="00CC34FA"/>
    <w:rsid w:val="00CC7BF7"/>
    <w:rsid w:val="00CD4DAC"/>
    <w:rsid w:val="00D00D05"/>
    <w:rsid w:val="00D31734"/>
    <w:rsid w:val="00D800DE"/>
    <w:rsid w:val="00DD1DBB"/>
    <w:rsid w:val="00E418DF"/>
    <w:rsid w:val="00E4319E"/>
    <w:rsid w:val="00E47AA6"/>
    <w:rsid w:val="00E56E3A"/>
    <w:rsid w:val="00EA3CD0"/>
    <w:rsid w:val="00EA492A"/>
    <w:rsid w:val="00EB47B1"/>
    <w:rsid w:val="00EE22D0"/>
    <w:rsid w:val="00FE39F3"/>
    <w:rsid w:val="0361447A"/>
    <w:rsid w:val="044C3E9A"/>
    <w:rsid w:val="0C324B95"/>
    <w:rsid w:val="1031492B"/>
    <w:rsid w:val="145539EB"/>
    <w:rsid w:val="23DB2F62"/>
    <w:rsid w:val="26E86DF0"/>
    <w:rsid w:val="284D413F"/>
    <w:rsid w:val="2ACA31E0"/>
    <w:rsid w:val="306A451A"/>
    <w:rsid w:val="32F16F00"/>
    <w:rsid w:val="38E726E0"/>
    <w:rsid w:val="3A5E7687"/>
    <w:rsid w:val="40232A60"/>
    <w:rsid w:val="4381643E"/>
    <w:rsid w:val="43E77A38"/>
    <w:rsid w:val="4425069C"/>
    <w:rsid w:val="44A57709"/>
    <w:rsid w:val="4CFA0BD8"/>
    <w:rsid w:val="505E2615"/>
    <w:rsid w:val="506B379F"/>
    <w:rsid w:val="567B061A"/>
    <w:rsid w:val="5AD678EA"/>
    <w:rsid w:val="5CED210B"/>
    <w:rsid w:val="5EEB8F96"/>
    <w:rsid w:val="673646AF"/>
    <w:rsid w:val="67B16898"/>
    <w:rsid w:val="6BAD1043"/>
    <w:rsid w:val="735C10CB"/>
    <w:rsid w:val="775F730A"/>
    <w:rsid w:val="77FB6410"/>
    <w:rsid w:val="7975670D"/>
    <w:rsid w:val="7A6FB777"/>
    <w:rsid w:val="7EDE0908"/>
    <w:rsid w:val="D65FC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6"/>
    <w:autoRedefine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Cs w:val="21"/>
      <w:lang w:eastAsia="en-US"/>
    </w:rPr>
  </w:style>
  <w:style w:type="paragraph" w:styleId="3">
    <w:name w:val="Balloon Text"/>
    <w:basedOn w:val="1"/>
    <w:link w:val="14"/>
    <w:autoRedefine/>
    <w:qFormat/>
    <w:uiPriority w:val="99"/>
    <w:rPr>
      <w:sz w:val="18"/>
      <w:szCs w:val="18"/>
    </w:rPr>
  </w:style>
  <w:style w:type="paragraph" w:styleId="4">
    <w:name w:val="footer"/>
    <w:basedOn w:val="1"/>
    <w:link w:val="19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autoRedefine/>
    <w:qFormat/>
    <w:uiPriority w:val="20"/>
    <w:rPr>
      <w:i/>
      <w:iCs/>
    </w:rPr>
  </w:style>
  <w:style w:type="character" w:styleId="11">
    <w:name w:val="Hyperlink"/>
    <w:basedOn w:val="8"/>
    <w:autoRedefine/>
    <w:qFormat/>
    <w:uiPriority w:val="0"/>
    <w:rPr>
      <w:color w:val="0000FF"/>
      <w:u w:val="single"/>
    </w:rPr>
  </w:style>
  <w:style w:type="paragraph" w:customStyle="1" w:styleId="12">
    <w:name w:val="无间隔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3">
    <w:name w:val="NormalIndent"/>
    <w:basedOn w:val="1"/>
    <w:autoRedefine/>
    <w:qFormat/>
    <w:uiPriority w:val="0"/>
    <w:pPr>
      <w:ind w:firstLine="420"/>
      <w:textAlignment w:val="baseline"/>
    </w:pPr>
    <w:rPr>
      <w:rFonts w:ascii="Times New Roman" w:hAnsi="Times New Roman" w:eastAsia="方正楷体_GBK" w:cs="Times New Roman"/>
      <w:sz w:val="32"/>
      <w:szCs w:val="32"/>
    </w:rPr>
  </w:style>
  <w:style w:type="character" w:customStyle="1" w:styleId="14">
    <w:name w:val="批注框文本 Char"/>
    <w:basedOn w:val="8"/>
    <w:link w:val="3"/>
    <w:autoRedefine/>
    <w:qFormat/>
    <w:uiPriority w:val="99"/>
    <w:rPr>
      <w:kern w:val="2"/>
      <w:sz w:val="18"/>
      <w:szCs w:val="18"/>
    </w:rPr>
  </w:style>
  <w:style w:type="paragraph" w:customStyle="1" w:styleId="15">
    <w:name w:val="修订1"/>
    <w:autoRedefine/>
    <w:qFormat/>
    <w:uiPriority w:val="99"/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customStyle="1" w:styleId="16">
    <w:name w:val="正文文本 Char"/>
    <w:basedOn w:val="8"/>
    <w:link w:val="2"/>
    <w:autoRedefine/>
    <w:qFormat/>
    <w:uiPriority w:val="0"/>
    <w:rPr>
      <w:rFonts w:ascii="Arial" w:hAnsi="Arial" w:eastAsia="Arial" w:cs="Arial"/>
      <w:snapToGrid w:val="0"/>
      <w:color w:val="000000"/>
      <w:sz w:val="21"/>
      <w:szCs w:val="21"/>
      <w:lang w:eastAsia="en-US"/>
    </w:rPr>
  </w:style>
  <w:style w:type="table" w:customStyle="1" w:styleId="17">
    <w:name w:val="Table Normal"/>
    <w:autoRedefine/>
    <w:semiHidden/>
    <w:unhideWhenUsed/>
    <w:qFormat/>
    <w:uiPriority w:val="0"/>
    <w:rPr>
      <w:rFonts w:ascii="Arial" w:hAnsi="Arial" w:cs="Arial"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8">
    <w:name w:val="Table Text"/>
    <w:basedOn w:val="1"/>
    <w:autoRedefine/>
    <w:semiHidden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/>
      <w:snapToGrid w:val="0"/>
      <w:color w:val="000000"/>
      <w:kern w:val="0"/>
      <w:sz w:val="23"/>
      <w:szCs w:val="23"/>
      <w:lang w:eastAsia="en-US"/>
    </w:rPr>
  </w:style>
  <w:style w:type="character" w:customStyle="1" w:styleId="19">
    <w:name w:val="页脚 Char"/>
    <w:basedOn w:val="8"/>
    <w:link w:val="4"/>
    <w:autoRedefine/>
    <w:qFormat/>
    <w:uiPriority w:val="99"/>
    <w:rPr>
      <w:kern w:val="2"/>
      <w:sz w:val="1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9539</Words>
  <Characters>9706</Characters>
  <Lines>71</Lines>
  <Paragraphs>20</Paragraphs>
  <TotalTime>13</TotalTime>
  <ScaleCrop>false</ScaleCrop>
  <LinksUpToDate>false</LinksUpToDate>
  <CharactersWithSpaces>9785</CharactersWithSpaces>
  <Application>WPS Office_12.1.0.16364_F1E327BC-269C-435d-A152-05C5408002CA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2024-06-08T16:32:00Z</dcterms:created>
  <dc:creator>wzg</dc:creator>
  <cp:lastModifiedBy>冬日阳光</cp:lastModifiedBy>
  <cp:lastPrinted>2024-07-09T10:35:00Z</cp:lastPrinted>
  <dcterms:modified xsi:type="dcterms:W3CDTF">2024-07-10T01:43:02Z</dcterms:modified>
  <cp:revision>111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2052-12.1.0.16364</vt:lpwstr>
  </property>
  <property fmtid="{D5CDD505-2E9C-101B-9397-08002B2CF9AE}" pid="3" name="ICV">
    <vt:lpwstr>E38B0A261E0847B2983F1335316FE637_13</vt:lpwstr>
  </property>
</Properties>
</file>